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B5A" w:rsidRPr="00582143" w:rsidRDefault="00C015D5">
      <w:pPr>
        <w:rPr>
          <w:rFonts w:ascii="Arial" w:hAnsi="Arial" w:cs="Arial"/>
          <w:b/>
          <w:u w:val="single"/>
        </w:rPr>
      </w:pPr>
      <w:bookmarkStart w:id="0" w:name="_GoBack"/>
      <w:bookmarkEnd w:id="0"/>
      <w:r w:rsidRPr="00582143">
        <w:rPr>
          <w:rFonts w:ascii="Arial" w:hAnsi="Arial" w:cs="Arial"/>
          <w:b/>
          <w:u w:val="single"/>
        </w:rPr>
        <w:t>SUPPORTING DATA</w:t>
      </w:r>
    </w:p>
    <w:p w:rsidR="00C015D5" w:rsidRPr="00582143" w:rsidRDefault="003F4F7A" w:rsidP="003F4F7A">
      <w:pPr>
        <w:rPr>
          <w:rFonts w:ascii="Arial" w:hAnsi="Arial" w:cs="Arial"/>
          <w:sz w:val="20"/>
          <w:szCs w:val="20"/>
        </w:rPr>
      </w:pPr>
      <w:r w:rsidRPr="00582143">
        <w:rPr>
          <w:rFonts w:ascii="Arial" w:hAnsi="Arial" w:cs="Arial"/>
          <w:color w:val="000000"/>
        </w:rPr>
        <w:t>This document</w:t>
      </w:r>
      <w:r w:rsidR="002F377C" w:rsidRPr="00582143">
        <w:rPr>
          <w:rFonts w:ascii="Arial" w:hAnsi="Arial" w:cs="Arial"/>
          <w:color w:val="000000"/>
        </w:rPr>
        <w:t>,</w:t>
      </w:r>
      <w:r w:rsidRPr="00582143">
        <w:rPr>
          <w:rFonts w:ascii="Arial" w:hAnsi="Arial" w:cs="Arial"/>
          <w:color w:val="000000"/>
        </w:rPr>
        <w:t xml:space="preserve"> produced by </w:t>
      </w:r>
      <w:r w:rsidR="000B4860" w:rsidRPr="00582143">
        <w:rPr>
          <w:rFonts w:ascii="Arial" w:hAnsi="Arial" w:cs="Arial"/>
          <w:color w:val="000000"/>
        </w:rPr>
        <w:t xml:space="preserve">Dr </w:t>
      </w:r>
      <w:r w:rsidRPr="00582143">
        <w:rPr>
          <w:rFonts w:ascii="Arial" w:hAnsi="Arial" w:cs="Arial"/>
          <w:color w:val="000000"/>
        </w:rPr>
        <w:t>Susan O</w:t>
      </w:r>
      <w:r w:rsidR="002F377C" w:rsidRPr="00582143">
        <w:rPr>
          <w:rFonts w:ascii="Arial" w:hAnsi="Arial" w:cs="Arial"/>
          <w:color w:val="000000"/>
        </w:rPr>
        <w:t>z</w:t>
      </w:r>
      <w:r w:rsidRPr="00582143">
        <w:rPr>
          <w:rFonts w:ascii="Arial" w:hAnsi="Arial" w:cs="Arial"/>
          <w:color w:val="000000"/>
        </w:rPr>
        <w:t>er at East and North Hertfordshire NHS</w:t>
      </w:r>
      <w:r w:rsidR="002F377C" w:rsidRPr="00582143">
        <w:rPr>
          <w:rFonts w:ascii="Arial" w:hAnsi="Arial" w:cs="Arial"/>
          <w:color w:val="000000"/>
        </w:rPr>
        <w:t>,</w:t>
      </w:r>
      <w:r w:rsidRPr="00582143">
        <w:rPr>
          <w:rFonts w:ascii="Arial" w:hAnsi="Arial" w:cs="Arial"/>
          <w:color w:val="000000"/>
        </w:rPr>
        <w:t xml:space="preserve"> includes examples of data measures.</w:t>
      </w:r>
      <w:r w:rsidRPr="00582143">
        <w:rPr>
          <w:rFonts w:ascii="Arial" w:hAnsi="Arial" w:cs="Arial"/>
          <w:sz w:val="20"/>
          <w:szCs w:val="20"/>
        </w:rPr>
        <w:t xml:space="preserve"> </w:t>
      </w:r>
    </w:p>
    <w:p w:rsidR="00C015D5" w:rsidRPr="006D7EEE" w:rsidRDefault="00C015D5">
      <w:pPr>
        <w:rPr>
          <w:rFonts w:cs="Arial"/>
          <w:b/>
          <w:sz w:val="20"/>
          <w:szCs w:val="20"/>
          <w:u w:val="single"/>
        </w:rPr>
      </w:pPr>
    </w:p>
    <w:p w:rsidR="00C015D5" w:rsidRPr="006D7EEE" w:rsidRDefault="00C015D5">
      <w:pPr>
        <w:rPr>
          <w:rFonts w:cs="Arial"/>
          <w:b/>
          <w:sz w:val="20"/>
          <w:szCs w:val="20"/>
          <w:u w:val="single"/>
        </w:rPr>
      </w:pPr>
    </w:p>
    <w:p w:rsidR="00C015D5" w:rsidRPr="006D7EEE" w:rsidRDefault="00C015D5">
      <w:pPr>
        <w:rPr>
          <w:rFonts w:cs="Arial"/>
          <w:b/>
          <w:sz w:val="20"/>
          <w:szCs w:val="20"/>
          <w:u w:val="single"/>
        </w:rPr>
      </w:pPr>
    </w:p>
    <w:p w:rsidR="00D54477" w:rsidRDefault="00D54477">
      <w:pPr>
        <w:rPr>
          <w:rFonts w:cs="Arial"/>
          <w:sz w:val="20"/>
          <w:szCs w:val="20"/>
          <w:u w:val="single"/>
        </w:rPr>
      </w:pPr>
    </w:p>
    <w:p w:rsidR="00D54477" w:rsidRDefault="00D54477">
      <w:pPr>
        <w:rPr>
          <w:rFonts w:cs="Arial"/>
          <w:sz w:val="20"/>
          <w:szCs w:val="20"/>
          <w:u w:val="single"/>
        </w:rPr>
      </w:pPr>
    </w:p>
    <w:p w:rsidR="00D54477" w:rsidRDefault="00D54477">
      <w:pPr>
        <w:rPr>
          <w:rFonts w:cs="Arial"/>
          <w:sz w:val="20"/>
          <w:szCs w:val="20"/>
          <w:u w:val="single"/>
        </w:rPr>
      </w:pPr>
    </w:p>
    <w:p w:rsidR="00D54477" w:rsidRDefault="00D54477">
      <w:pPr>
        <w:rPr>
          <w:rFonts w:cs="Arial"/>
          <w:sz w:val="20"/>
          <w:szCs w:val="20"/>
          <w:u w:val="single"/>
        </w:rPr>
      </w:pPr>
    </w:p>
    <w:p w:rsidR="00D54477" w:rsidRDefault="00D54477">
      <w:pPr>
        <w:rPr>
          <w:rFonts w:cs="Arial"/>
          <w:sz w:val="20"/>
          <w:szCs w:val="20"/>
          <w:u w:val="single"/>
        </w:rPr>
      </w:pPr>
    </w:p>
    <w:p w:rsidR="00D54477" w:rsidRDefault="00D54477">
      <w:pPr>
        <w:rPr>
          <w:rFonts w:cs="Arial"/>
          <w:sz w:val="20"/>
          <w:szCs w:val="20"/>
          <w:u w:val="single"/>
        </w:rPr>
      </w:pPr>
    </w:p>
    <w:p w:rsidR="00D54477" w:rsidRDefault="00D54477">
      <w:pPr>
        <w:rPr>
          <w:rFonts w:cs="Arial"/>
          <w:sz w:val="20"/>
          <w:szCs w:val="20"/>
          <w:u w:val="single"/>
        </w:rPr>
      </w:pPr>
    </w:p>
    <w:p w:rsidR="00D54477" w:rsidRDefault="00D54477">
      <w:pPr>
        <w:rPr>
          <w:rFonts w:cs="Arial"/>
          <w:sz w:val="20"/>
          <w:szCs w:val="20"/>
          <w:u w:val="single"/>
        </w:rPr>
      </w:pPr>
    </w:p>
    <w:p w:rsidR="00102939" w:rsidRDefault="00102939" w:rsidP="00D54477">
      <w:pPr>
        <w:spacing w:after="0" w:line="240" w:lineRule="auto"/>
        <w:rPr>
          <w:rFonts w:cs="Arial"/>
          <w:sz w:val="20"/>
          <w:szCs w:val="20"/>
          <w:highlight w:val="yellow"/>
        </w:rPr>
      </w:pPr>
    </w:p>
    <w:p w:rsidR="00102939" w:rsidRDefault="00102939" w:rsidP="00D54477">
      <w:pPr>
        <w:spacing w:after="0" w:line="240" w:lineRule="auto"/>
        <w:rPr>
          <w:rFonts w:cs="Arial"/>
          <w:sz w:val="20"/>
          <w:szCs w:val="20"/>
          <w:highlight w:val="yellow"/>
        </w:rPr>
      </w:pPr>
    </w:p>
    <w:p w:rsidR="00102939" w:rsidRDefault="00102939" w:rsidP="00D54477">
      <w:pPr>
        <w:spacing w:after="0" w:line="240" w:lineRule="auto"/>
        <w:rPr>
          <w:rFonts w:cs="Arial"/>
          <w:sz w:val="20"/>
          <w:szCs w:val="20"/>
          <w:highlight w:val="yellow"/>
        </w:rPr>
      </w:pPr>
    </w:p>
    <w:p w:rsidR="00102939" w:rsidRDefault="00102939" w:rsidP="00D54477">
      <w:pPr>
        <w:spacing w:after="0" w:line="240" w:lineRule="auto"/>
        <w:rPr>
          <w:rFonts w:cs="Arial"/>
          <w:sz w:val="20"/>
          <w:szCs w:val="20"/>
          <w:highlight w:val="yellow"/>
        </w:rPr>
      </w:pPr>
    </w:p>
    <w:p w:rsidR="00102939" w:rsidRDefault="00102939" w:rsidP="00D54477">
      <w:pPr>
        <w:spacing w:after="0" w:line="240" w:lineRule="auto"/>
        <w:rPr>
          <w:rFonts w:cs="Arial"/>
          <w:sz w:val="20"/>
          <w:szCs w:val="20"/>
          <w:highlight w:val="yellow"/>
        </w:rPr>
      </w:pPr>
    </w:p>
    <w:p w:rsidR="00102939" w:rsidRDefault="00102939" w:rsidP="00D54477">
      <w:pPr>
        <w:spacing w:after="0" w:line="240" w:lineRule="auto"/>
        <w:rPr>
          <w:rFonts w:cs="Arial"/>
          <w:sz w:val="20"/>
          <w:szCs w:val="20"/>
          <w:highlight w:val="yellow"/>
        </w:rPr>
      </w:pPr>
    </w:p>
    <w:p w:rsidR="00102939" w:rsidRDefault="00102939" w:rsidP="00D54477">
      <w:pPr>
        <w:spacing w:after="0" w:line="240" w:lineRule="auto"/>
        <w:rPr>
          <w:rFonts w:cs="Arial"/>
          <w:sz w:val="20"/>
          <w:szCs w:val="20"/>
          <w:highlight w:val="yellow"/>
        </w:rPr>
      </w:pPr>
    </w:p>
    <w:p w:rsidR="00102939" w:rsidRDefault="00102939" w:rsidP="00D54477">
      <w:pPr>
        <w:spacing w:after="0" w:line="240" w:lineRule="auto"/>
        <w:rPr>
          <w:rFonts w:cs="Arial"/>
          <w:sz w:val="20"/>
          <w:szCs w:val="20"/>
          <w:highlight w:val="yellow"/>
        </w:rPr>
      </w:pPr>
    </w:p>
    <w:p w:rsidR="006D7EEE" w:rsidRDefault="006D7EEE" w:rsidP="00D54477">
      <w:pPr>
        <w:spacing w:after="0" w:line="240" w:lineRule="auto"/>
        <w:rPr>
          <w:rFonts w:cs="Arial"/>
          <w:sz w:val="20"/>
          <w:szCs w:val="20"/>
          <w:u w:val="single"/>
        </w:rPr>
      </w:pPr>
      <w:r>
        <w:rPr>
          <w:rFonts w:cs="Arial"/>
          <w:sz w:val="20"/>
          <w:szCs w:val="20"/>
          <w:u w:val="single"/>
        </w:rPr>
        <w:br w:type="page"/>
      </w:r>
    </w:p>
    <w:p w:rsidR="00184542" w:rsidRPr="00582143" w:rsidRDefault="00184542">
      <w:pPr>
        <w:rPr>
          <w:rFonts w:ascii="Arial" w:hAnsi="Arial" w:cs="Arial"/>
          <w:b/>
          <w:u w:val="single"/>
        </w:rPr>
      </w:pPr>
      <w:r w:rsidRPr="00582143">
        <w:rPr>
          <w:rFonts w:ascii="Arial" w:hAnsi="Arial" w:cs="Arial"/>
          <w:b/>
          <w:u w:val="single"/>
        </w:rPr>
        <w:lastRenderedPageBreak/>
        <w:t>Graph 1</w:t>
      </w:r>
      <w:r w:rsidR="006D7EEE" w:rsidRPr="00582143">
        <w:rPr>
          <w:rFonts w:ascii="Arial" w:hAnsi="Arial" w:cs="Arial"/>
          <w:b/>
          <w:u w:val="single"/>
        </w:rPr>
        <w:t>: After the pathway p</w:t>
      </w:r>
      <w:r w:rsidR="006E7B7A" w:rsidRPr="00582143">
        <w:rPr>
          <w:rFonts w:ascii="Arial" w:hAnsi="Arial" w:cs="Arial"/>
          <w:b/>
          <w:u w:val="single"/>
        </w:rPr>
        <w:t xml:space="preserve">atients are </w:t>
      </w:r>
      <w:r w:rsidR="007C3C95">
        <w:rPr>
          <w:rFonts w:ascii="Arial" w:hAnsi="Arial" w:cs="Arial"/>
          <w:b/>
          <w:u w:val="single"/>
        </w:rPr>
        <w:t>referred more appropriately</w:t>
      </w:r>
    </w:p>
    <w:p w:rsidR="00184542" w:rsidRPr="006D7EEE" w:rsidRDefault="00184542">
      <w:pPr>
        <w:rPr>
          <w:rFonts w:cs="Arial"/>
          <w:b/>
          <w:sz w:val="20"/>
          <w:szCs w:val="20"/>
          <w:u w:val="single"/>
        </w:rPr>
      </w:pPr>
      <w:r w:rsidRPr="006D7EEE">
        <w:rPr>
          <w:noProof/>
          <w:lang w:eastAsia="en-GB"/>
        </w:rPr>
        <w:drawing>
          <wp:inline distT="0" distB="0" distL="0" distR="0" wp14:anchorId="6AC719BF" wp14:editId="7333B171">
            <wp:extent cx="4192905" cy="3000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2905" cy="3000375"/>
                    </a:xfrm>
                    <a:prstGeom prst="rect">
                      <a:avLst/>
                    </a:prstGeom>
                    <a:noFill/>
                    <a:ln>
                      <a:noFill/>
                    </a:ln>
                  </pic:spPr>
                </pic:pic>
              </a:graphicData>
            </a:graphic>
          </wp:inline>
        </w:drawing>
      </w:r>
    </w:p>
    <w:p w:rsidR="006D7EEE" w:rsidRPr="00582143" w:rsidRDefault="006D7EEE">
      <w:pPr>
        <w:rPr>
          <w:rFonts w:ascii="Arial" w:hAnsi="Arial" w:cs="Arial"/>
          <w:b/>
          <w:sz w:val="20"/>
          <w:szCs w:val="20"/>
        </w:rPr>
      </w:pPr>
      <w:r w:rsidRPr="00582143">
        <w:rPr>
          <w:rFonts w:ascii="Arial" w:hAnsi="Arial" w:cs="Arial"/>
          <w:b/>
          <w:sz w:val="20"/>
          <w:szCs w:val="20"/>
        </w:rPr>
        <w:t>Notes:</w:t>
      </w:r>
    </w:p>
    <w:p w:rsidR="006C0C6D" w:rsidRPr="00582143" w:rsidRDefault="006D7EEE" w:rsidP="006D7EEE">
      <w:pPr>
        <w:pStyle w:val="ListParagraph"/>
        <w:numPr>
          <w:ilvl w:val="0"/>
          <w:numId w:val="5"/>
        </w:numPr>
        <w:rPr>
          <w:rFonts w:ascii="Arial" w:hAnsi="Arial" w:cs="Arial"/>
          <w:sz w:val="20"/>
          <w:szCs w:val="20"/>
          <w:u w:val="single"/>
        </w:rPr>
      </w:pPr>
      <w:r w:rsidRPr="00582143">
        <w:rPr>
          <w:rFonts w:ascii="Arial" w:hAnsi="Arial" w:cs="Arial"/>
          <w:sz w:val="20"/>
          <w:szCs w:val="20"/>
        </w:rPr>
        <w:t xml:space="preserve">Although the percentage of ADHD total referrals to </w:t>
      </w:r>
      <w:r w:rsidR="006C0C6D" w:rsidRPr="00582143">
        <w:rPr>
          <w:rFonts w:ascii="Arial" w:hAnsi="Arial" w:cs="Arial"/>
          <w:sz w:val="20"/>
          <w:szCs w:val="20"/>
        </w:rPr>
        <w:t>the Community Paediatric Child Development Centre (CDC) has remained quite stable before and after the Integrated Care Pathway (ICP), behind this data, there are significant differences in the types of children referred.</w:t>
      </w:r>
    </w:p>
    <w:p w:rsidR="00653D17" w:rsidRPr="00582143" w:rsidRDefault="006C0C6D" w:rsidP="006D7EEE">
      <w:pPr>
        <w:pStyle w:val="ListParagraph"/>
        <w:numPr>
          <w:ilvl w:val="0"/>
          <w:numId w:val="5"/>
        </w:numPr>
        <w:rPr>
          <w:rFonts w:ascii="Arial" w:hAnsi="Arial" w:cs="Arial"/>
          <w:sz w:val="20"/>
          <w:szCs w:val="20"/>
          <w:u w:val="single"/>
        </w:rPr>
      </w:pPr>
      <w:r w:rsidRPr="00582143">
        <w:rPr>
          <w:rFonts w:ascii="Arial" w:hAnsi="Arial" w:cs="Arial"/>
          <w:sz w:val="20"/>
          <w:szCs w:val="20"/>
        </w:rPr>
        <w:t xml:space="preserve">Most importantly, after the pathway the age profile has dropped, with the Child Development Centre </w:t>
      </w:r>
      <w:r w:rsidR="00653D17" w:rsidRPr="00582143">
        <w:rPr>
          <w:rFonts w:ascii="Arial" w:hAnsi="Arial" w:cs="Arial"/>
          <w:sz w:val="20"/>
          <w:szCs w:val="20"/>
        </w:rPr>
        <w:t xml:space="preserve">now </w:t>
      </w:r>
      <w:r w:rsidRPr="00582143">
        <w:rPr>
          <w:rFonts w:ascii="Arial" w:hAnsi="Arial" w:cs="Arial"/>
          <w:sz w:val="20"/>
          <w:szCs w:val="20"/>
        </w:rPr>
        <w:t>receiving referrals fo</w:t>
      </w:r>
      <w:r w:rsidR="005C40B9" w:rsidRPr="00582143">
        <w:rPr>
          <w:rFonts w:ascii="Arial" w:hAnsi="Arial" w:cs="Arial"/>
          <w:sz w:val="20"/>
          <w:szCs w:val="20"/>
        </w:rPr>
        <w:t xml:space="preserve">r younger, less complex cases. </w:t>
      </w:r>
      <w:r w:rsidR="00653D17" w:rsidRPr="00582143">
        <w:rPr>
          <w:rFonts w:ascii="Arial" w:hAnsi="Arial" w:cs="Arial"/>
          <w:sz w:val="20"/>
          <w:szCs w:val="20"/>
        </w:rPr>
        <w:t>Critically, this is</w:t>
      </w:r>
      <w:r w:rsidRPr="00582143">
        <w:rPr>
          <w:rFonts w:ascii="Arial" w:hAnsi="Arial" w:cs="Arial"/>
          <w:sz w:val="20"/>
          <w:szCs w:val="20"/>
        </w:rPr>
        <w:t xml:space="preserve"> because more complex cases</w:t>
      </w:r>
      <w:r w:rsidR="00653D17" w:rsidRPr="00582143">
        <w:rPr>
          <w:rFonts w:ascii="Arial" w:hAnsi="Arial" w:cs="Arial"/>
          <w:sz w:val="20"/>
          <w:szCs w:val="20"/>
        </w:rPr>
        <w:t>, with common comorbidities are being</w:t>
      </w:r>
      <w:r w:rsidRPr="00582143">
        <w:rPr>
          <w:rFonts w:ascii="Arial" w:hAnsi="Arial" w:cs="Arial"/>
          <w:sz w:val="20"/>
          <w:szCs w:val="20"/>
        </w:rPr>
        <w:t xml:space="preserve"> directly</w:t>
      </w:r>
      <w:r w:rsidR="00653D17" w:rsidRPr="00582143">
        <w:rPr>
          <w:rFonts w:ascii="Arial" w:hAnsi="Arial" w:cs="Arial"/>
          <w:sz w:val="20"/>
          <w:szCs w:val="20"/>
        </w:rPr>
        <w:t xml:space="preserve"> and consistently</w:t>
      </w:r>
      <w:r w:rsidRPr="00582143">
        <w:rPr>
          <w:rFonts w:ascii="Arial" w:hAnsi="Arial" w:cs="Arial"/>
          <w:sz w:val="20"/>
          <w:szCs w:val="20"/>
        </w:rPr>
        <w:t xml:space="preserve"> routed by the pathway to the Child and Adolescent Mental Health Services </w:t>
      </w:r>
      <w:r w:rsidR="00653D17" w:rsidRPr="00582143">
        <w:rPr>
          <w:rFonts w:ascii="Arial" w:hAnsi="Arial" w:cs="Arial"/>
          <w:sz w:val="20"/>
          <w:szCs w:val="20"/>
        </w:rPr>
        <w:t>through a Single Point of Access.</w:t>
      </w:r>
    </w:p>
    <w:p w:rsidR="009C0F63" w:rsidRPr="00582143" w:rsidRDefault="00653D17" w:rsidP="006D7EEE">
      <w:pPr>
        <w:pStyle w:val="ListParagraph"/>
        <w:numPr>
          <w:ilvl w:val="0"/>
          <w:numId w:val="5"/>
        </w:numPr>
        <w:rPr>
          <w:rFonts w:ascii="Arial" w:hAnsi="Arial" w:cs="Arial"/>
          <w:sz w:val="20"/>
          <w:szCs w:val="20"/>
        </w:rPr>
      </w:pPr>
      <w:r w:rsidRPr="00582143">
        <w:rPr>
          <w:rFonts w:ascii="Arial" w:hAnsi="Arial" w:cs="Arial"/>
          <w:sz w:val="20"/>
          <w:szCs w:val="20"/>
        </w:rPr>
        <w:t>This not only means that the patient journey is shorter, as they are directly routed to the most appropriate help for their needs, first time, it also means that consultation time is saved, as the service user is seen by the most appropriate professional for their needs.</w:t>
      </w:r>
    </w:p>
    <w:p w:rsidR="009C0F63" w:rsidRDefault="009C0F63">
      <w:pPr>
        <w:rPr>
          <w:rFonts w:cs="Arial"/>
        </w:rPr>
      </w:pPr>
      <w:r>
        <w:rPr>
          <w:rFonts w:cs="Arial"/>
        </w:rPr>
        <w:br w:type="page"/>
      </w:r>
    </w:p>
    <w:p w:rsidR="00653D17" w:rsidRPr="00582143" w:rsidRDefault="00653D17" w:rsidP="00653D17">
      <w:pPr>
        <w:rPr>
          <w:rFonts w:ascii="Arial" w:hAnsi="Arial" w:cs="Arial"/>
          <w:b/>
          <w:u w:val="single"/>
        </w:rPr>
      </w:pPr>
      <w:r w:rsidRPr="00582143">
        <w:rPr>
          <w:rFonts w:ascii="Arial" w:hAnsi="Arial" w:cs="Arial"/>
          <w:b/>
          <w:u w:val="single"/>
        </w:rPr>
        <w:lastRenderedPageBreak/>
        <w:t>Graph 2: Improved referral quality means that the Child Development Centre receives younger, less complex ADHD patients</w:t>
      </w:r>
    </w:p>
    <w:p w:rsidR="00653D17" w:rsidRDefault="00653D17" w:rsidP="00653D17">
      <w:pPr>
        <w:rPr>
          <w:rFonts w:cs="Arial"/>
          <w:sz w:val="20"/>
          <w:szCs w:val="20"/>
          <w:u w:val="single"/>
        </w:rPr>
      </w:pPr>
      <w:r w:rsidRPr="006D7EEE">
        <w:rPr>
          <w:noProof/>
          <w:lang w:eastAsia="en-GB"/>
        </w:rPr>
        <w:drawing>
          <wp:inline distT="0" distB="0" distL="0" distR="0" wp14:anchorId="60CBE937" wp14:editId="09BEBED9">
            <wp:extent cx="3675185" cy="33918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5910" cy="3392550"/>
                    </a:xfrm>
                    <a:prstGeom prst="rect">
                      <a:avLst/>
                    </a:prstGeom>
                    <a:noFill/>
                    <a:ln>
                      <a:noFill/>
                    </a:ln>
                  </pic:spPr>
                </pic:pic>
              </a:graphicData>
            </a:graphic>
          </wp:inline>
        </w:drawing>
      </w:r>
    </w:p>
    <w:p w:rsidR="000B4860" w:rsidRPr="00582143" w:rsidRDefault="000B4860" w:rsidP="000B4860">
      <w:pPr>
        <w:rPr>
          <w:rFonts w:ascii="Arial" w:hAnsi="Arial" w:cs="Arial"/>
          <w:b/>
          <w:sz w:val="20"/>
          <w:szCs w:val="20"/>
        </w:rPr>
      </w:pPr>
      <w:r w:rsidRPr="00582143">
        <w:rPr>
          <w:rFonts w:ascii="Arial" w:hAnsi="Arial" w:cs="Arial"/>
          <w:b/>
          <w:sz w:val="20"/>
          <w:szCs w:val="20"/>
        </w:rPr>
        <w:t>Notes:</w:t>
      </w:r>
    </w:p>
    <w:p w:rsidR="00653D17" w:rsidRPr="00582143" w:rsidRDefault="00653D17" w:rsidP="00653D17">
      <w:pPr>
        <w:pStyle w:val="ListParagraph"/>
        <w:numPr>
          <w:ilvl w:val="0"/>
          <w:numId w:val="5"/>
        </w:numPr>
        <w:rPr>
          <w:rFonts w:ascii="Arial" w:hAnsi="Arial" w:cs="Arial"/>
          <w:sz w:val="20"/>
          <w:szCs w:val="20"/>
          <w:u w:val="single"/>
        </w:rPr>
      </w:pPr>
      <w:r w:rsidRPr="00582143">
        <w:rPr>
          <w:rFonts w:ascii="Arial" w:hAnsi="Arial" w:cs="Arial"/>
          <w:sz w:val="20"/>
          <w:szCs w:val="20"/>
        </w:rPr>
        <w:t xml:space="preserve">Looking in more detail at the age profile received by the Child Development Centre, the improvement in the referral criteria and pathway meant that the </w:t>
      </w:r>
      <w:r w:rsidR="005C40B9" w:rsidRPr="00582143">
        <w:rPr>
          <w:rFonts w:ascii="Arial" w:hAnsi="Arial" w:cs="Arial"/>
          <w:sz w:val="20"/>
          <w:szCs w:val="20"/>
        </w:rPr>
        <w:t>C</w:t>
      </w:r>
      <w:r w:rsidRPr="00582143">
        <w:rPr>
          <w:rFonts w:ascii="Arial" w:hAnsi="Arial" w:cs="Arial"/>
          <w:sz w:val="20"/>
          <w:szCs w:val="20"/>
        </w:rPr>
        <w:t>entre was receiving a better balance of ADHD referrals of primary school-age children, with older, more complex cases more appropriately routed to CA</w:t>
      </w:r>
      <w:r w:rsidR="006C2DE8" w:rsidRPr="00582143">
        <w:rPr>
          <w:rFonts w:ascii="Arial" w:hAnsi="Arial" w:cs="Arial"/>
          <w:sz w:val="20"/>
          <w:szCs w:val="20"/>
        </w:rPr>
        <w:t>MHS:</w:t>
      </w:r>
    </w:p>
    <w:p w:rsidR="006C2DE8" w:rsidRPr="00582143" w:rsidRDefault="006C2DE8" w:rsidP="006C2DE8">
      <w:pPr>
        <w:pStyle w:val="ListParagraph"/>
        <w:numPr>
          <w:ilvl w:val="1"/>
          <w:numId w:val="5"/>
        </w:numPr>
        <w:rPr>
          <w:rFonts w:ascii="Arial" w:hAnsi="Arial" w:cs="Arial"/>
          <w:sz w:val="20"/>
          <w:szCs w:val="20"/>
          <w:u w:val="single"/>
        </w:rPr>
      </w:pPr>
      <w:r w:rsidRPr="00582143">
        <w:rPr>
          <w:rFonts w:ascii="Arial" w:hAnsi="Arial" w:cs="Arial"/>
          <w:sz w:val="20"/>
          <w:szCs w:val="20"/>
        </w:rPr>
        <w:t>before the Integrated Care Pathway, only 47% of ADHD referrals to the Child Development Centre were in the primary age range</w:t>
      </w:r>
    </w:p>
    <w:p w:rsidR="006C2DE8" w:rsidRPr="00582143" w:rsidRDefault="006C2DE8" w:rsidP="006C2DE8">
      <w:pPr>
        <w:pStyle w:val="ListParagraph"/>
        <w:numPr>
          <w:ilvl w:val="1"/>
          <w:numId w:val="5"/>
        </w:numPr>
        <w:rPr>
          <w:rFonts w:ascii="Arial" w:hAnsi="Arial" w:cs="Arial"/>
          <w:sz w:val="20"/>
          <w:szCs w:val="20"/>
          <w:u w:val="single"/>
        </w:rPr>
      </w:pPr>
      <w:r w:rsidRPr="00582143">
        <w:rPr>
          <w:rFonts w:ascii="Arial" w:hAnsi="Arial" w:cs="Arial"/>
          <w:sz w:val="20"/>
          <w:szCs w:val="20"/>
        </w:rPr>
        <w:t>after the Integrated Care Pathway, this had risen to 72%.</w:t>
      </w:r>
    </w:p>
    <w:p w:rsidR="009C0F63" w:rsidRPr="00582143" w:rsidRDefault="00653D17" w:rsidP="00653D17">
      <w:pPr>
        <w:pStyle w:val="ListParagraph"/>
        <w:numPr>
          <w:ilvl w:val="0"/>
          <w:numId w:val="5"/>
        </w:numPr>
        <w:rPr>
          <w:rFonts w:ascii="Arial" w:hAnsi="Arial" w:cs="Arial"/>
          <w:sz w:val="20"/>
          <w:szCs w:val="20"/>
        </w:rPr>
      </w:pPr>
      <w:r w:rsidRPr="00582143">
        <w:rPr>
          <w:rFonts w:ascii="Arial" w:hAnsi="Arial" w:cs="Arial"/>
          <w:sz w:val="20"/>
          <w:szCs w:val="20"/>
        </w:rPr>
        <w:t>This not only means that the patient journey is shorter, as they are directly routed to the most appropriate help for their needs, first time, it also means that consultation time is saved, as the service user is seen by the most appropriate professional for their needs.</w:t>
      </w:r>
    </w:p>
    <w:p w:rsidR="00184542" w:rsidRPr="00582143" w:rsidRDefault="009C0F63">
      <w:pPr>
        <w:rPr>
          <w:rFonts w:ascii="Arial" w:hAnsi="Arial" w:cs="Arial"/>
          <w:b/>
          <w:u w:val="single"/>
        </w:rPr>
      </w:pPr>
      <w:r>
        <w:rPr>
          <w:rFonts w:cs="Arial"/>
        </w:rPr>
        <w:br w:type="page"/>
      </w:r>
      <w:r w:rsidR="00653D17" w:rsidRPr="00582143">
        <w:rPr>
          <w:rFonts w:ascii="Arial" w:hAnsi="Arial" w:cs="Arial"/>
          <w:b/>
          <w:u w:val="single"/>
        </w:rPr>
        <w:lastRenderedPageBreak/>
        <w:t>Graph 3</w:t>
      </w:r>
      <w:r w:rsidR="0050523B" w:rsidRPr="00582143">
        <w:rPr>
          <w:rFonts w:ascii="Arial" w:hAnsi="Arial" w:cs="Arial"/>
          <w:b/>
          <w:u w:val="single"/>
        </w:rPr>
        <w:t>: Quality of referrals has improved</w:t>
      </w:r>
    </w:p>
    <w:p w:rsidR="00184542" w:rsidRPr="006D7EEE" w:rsidRDefault="00184542">
      <w:pPr>
        <w:rPr>
          <w:rFonts w:cs="Arial"/>
          <w:sz w:val="20"/>
          <w:szCs w:val="20"/>
          <w:u w:val="single"/>
        </w:rPr>
      </w:pPr>
      <w:r w:rsidRPr="006D7EEE">
        <w:rPr>
          <w:noProof/>
          <w:lang w:eastAsia="en-GB"/>
        </w:rPr>
        <w:drawing>
          <wp:inline distT="0" distB="0" distL="0" distR="0" wp14:anchorId="212B2793" wp14:editId="0F99FF0F">
            <wp:extent cx="4391025" cy="35941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1025" cy="3594100"/>
                    </a:xfrm>
                    <a:prstGeom prst="rect">
                      <a:avLst/>
                    </a:prstGeom>
                    <a:noFill/>
                    <a:ln>
                      <a:noFill/>
                    </a:ln>
                  </pic:spPr>
                </pic:pic>
              </a:graphicData>
            </a:graphic>
          </wp:inline>
        </w:drawing>
      </w:r>
    </w:p>
    <w:p w:rsidR="000B4860" w:rsidRPr="00582143" w:rsidRDefault="000B4860" w:rsidP="000B4860">
      <w:pPr>
        <w:rPr>
          <w:rFonts w:ascii="Arial" w:hAnsi="Arial" w:cs="Arial"/>
          <w:b/>
          <w:sz w:val="20"/>
          <w:szCs w:val="20"/>
        </w:rPr>
      </w:pPr>
      <w:r w:rsidRPr="00582143">
        <w:rPr>
          <w:rFonts w:ascii="Arial" w:hAnsi="Arial" w:cs="Arial"/>
          <w:b/>
          <w:sz w:val="20"/>
          <w:szCs w:val="20"/>
        </w:rPr>
        <w:t>Notes:</w:t>
      </w:r>
    </w:p>
    <w:p w:rsidR="0050523B" w:rsidRPr="00582143" w:rsidRDefault="0050523B" w:rsidP="0050523B">
      <w:pPr>
        <w:pStyle w:val="ListParagraph"/>
        <w:numPr>
          <w:ilvl w:val="0"/>
          <w:numId w:val="6"/>
        </w:numPr>
        <w:rPr>
          <w:rFonts w:ascii="Arial" w:hAnsi="Arial" w:cs="Arial"/>
          <w:sz w:val="20"/>
          <w:szCs w:val="20"/>
        </w:rPr>
      </w:pPr>
      <w:r w:rsidRPr="00582143">
        <w:rPr>
          <w:rFonts w:ascii="Arial" w:hAnsi="Arial" w:cs="Arial"/>
          <w:sz w:val="20"/>
          <w:szCs w:val="20"/>
        </w:rPr>
        <w:t>The Integrated Care Pathway addressed a number of issues including confusion about referral pathways and routes.</w:t>
      </w:r>
    </w:p>
    <w:p w:rsidR="00EB3284" w:rsidRPr="0050523B" w:rsidRDefault="0050523B" w:rsidP="0050523B">
      <w:pPr>
        <w:pStyle w:val="ListParagraph"/>
        <w:numPr>
          <w:ilvl w:val="0"/>
          <w:numId w:val="6"/>
        </w:numPr>
        <w:rPr>
          <w:rFonts w:cs="Arial"/>
        </w:rPr>
      </w:pPr>
      <w:r w:rsidRPr="00582143">
        <w:rPr>
          <w:rFonts w:ascii="Arial" w:hAnsi="Arial" w:cs="Arial"/>
          <w:sz w:val="20"/>
          <w:szCs w:val="20"/>
        </w:rPr>
        <w:t>Also, having a Single Point of Access expanding the remit of the ADHD nurse role to carry out pre-assessment checks means that when a patient reaches a consultant, their case and paperwork has been thoroughly checked, reducing inappropriate or incomplete referrals and consultant time.</w:t>
      </w:r>
      <w:r w:rsidR="00485907" w:rsidRPr="00582143">
        <w:rPr>
          <w:rFonts w:ascii="Arial" w:hAnsi="Arial" w:cs="Arial"/>
          <w:sz w:val="20"/>
          <w:szCs w:val="20"/>
        </w:rPr>
        <w:br/>
      </w:r>
    </w:p>
    <w:p w:rsidR="00184542" w:rsidRPr="006D7EEE" w:rsidRDefault="00184542">
      <w:pPr>
        <w:rPr>
          <w:rFonts w:cs="Arial"/>
          <w:sz w:val="20"/>
          <w:szCs w:val="20"/>
          <w:u w:val="single"/>
        </w:rPr>
      </w:pPr>
    </w:p>
    <w:p w:rsidR="007C3C95" w:rsidRDefault="007C3C95" w:rsidP="00C015D5">
      <w:pPr>
        <w:rPr>
          <w:rFonts w:ascii="Arial" w:hAnsi="Arial" w:cs="Arial"/>
          <w:b/>
          <w:u w:val="single"/>
        </w:rPr>
      </w:pPr>
      <w:r>
        <w:rPr>
          <w:rFonts w:ascii="Arial" w:hAnsi="Arial" w:cs="Arial"/>
          <w:b/>
          <w:u w:val="single"/>
        </w:rPr>
        <w:br w:type="page"/>
      </w:r>
    </w:p>
    <w:p w:rsidR="0081053A" w:rsidRPr="00582143" w:rsidRDefault="00C015D5" w:rsidP="00C015D5">
      <w:pPr>
        <w:rPr>
          <w:rFonts w:ascii="Arial" w:hAnsi="Arial" w:cs="Arial"/>
          <w:b/>
          <w:u w:val="single"/>
        </w:rPr>
      </w:pPr>
      <w:r w:rsidRPr="00582143">
        <w:rPr>
          <w:rFonts w:ascii="Arial" w:hAnsi="Arial" w:cs="Arial"/>
          <w:b/>
          <w:u w:val="single"/>
        </w:rPr>
        <w:lastRenderedPageBreak/>
        <w:t xml:space="preserve">Graphs </w:t>
      </w:r>
      <w:r w:rsidR="00532ED9" w:rsidRPr="00582143">
        <w:rPr>
          <w:rFonts w:ascii="Arial" w:hAnsi="Arial" w:cs="Arial"/>
          <w:b/>
          <w:u w:val="single"/>
        </w:rPr>
        <w:t>4</w:t>
      </w:r>
      <w:r w:rsidRPr="00582143">
        <w:rPr>
          <w:rFonts w:ascii="Arial" w:hAnsi="Arial" w:cs="Arial"/>
          <w:b/>
          <w:u w:val="single"/>
        </w:rPr>
        <w:t xml:space="preserve"> and </w:t>
      </w:r>
      <w:r w:rsidR="00532ED9" w:rsidRPr="00582143">
        <w:rPr>
          <w:rFonts w:ascii="Arial" w:hAnsi="Arial" w:cs="Arial"/>
          <w:b/>
          <w:u w:val="single"/>
        </w:rPr>
        <w:t>5: Improved quality of referrals means that most patients can be diagnosed at the first consultation</w:t>
      </w:r>
    </w:p>
    <w:tbl>
      <w:tblPr>
        <w:tblStyle w:val="TableGrid"/>
        <w:tblW w:w="14373" w:type="dxa"/>
        <w:tblLook w:val="04A0" w:firstRow="1" w:lastRow="0" w:firstColumn="1" w:lastColumn="0" w:noHBand="0" w:noVBand="1"/>
      </w:tblPr>
      <w:tblGrid>
        <w:gridCol w:w="7337"/>
        <w:gridCol w:w="7036"/>
      </w:tblGrid>
      <w:tr w:rsidR="00C116E8" w:rsidRPr="006D7EEE" w:rsidTr="00C015D5">
        <w:trPr>
          <w:trHeight w:val="4424"/>
        </w:trPr>
        <w:tc>
          <w:tcPr>
            <w:tcW w:w="7317" w:type="dxa"/>
          </w:tcPr>
          <w:p w:rsidR="00C116E8" w:rsidRPr="006D7EEE" w:rsidRDefault="00C116E8">
            <w:pPr>
              <w:rPr>
                <w:rFonts w:cs="Arial"/>
                <w:sz w:val="20"/>
                <w:szCs w:val="20"/>
                <w:u w:val="single"/>
              </w:rPr>
            </w:pPr>
            <w:r w:rsidRPr="006D7EEE">
              <w:rPr>
                <w:noProof/>
                <w:lang w:eastAsia="en-GB"/>
              </w:rPr>
              <w:drawing>
                <wp:inline distT="0" distB="0" distL="0" distR="0" wp14:anchorId="3862C520" wp14:editId="40312E5F">
                  <wp:extent cx="4521979" cy="25966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9965" cy="2595505"/>
                          </a:xfrm>
                          <a:prstGeom prst="rect">
                            <a:avLst/>
                          </a:prstGeom>
                          <a:noFill/>
                          <a:ln>
                            <a:noFill/>
                          </a:ln>
                        </pic:spPr>
                      </pic:pic>
                    </a:graphicData>
                  </a:graphic>
                </wp:inline>
              </w:drawing>
            </w:r>
          </w:p>
        </w:tc>
        <w:tc>
          <w:tcPr>
            <w:tcW w:w="7056" w:type="dxa"/>
          </w:tcPr>
          <w:p w:rsidR="00C116E8" w:rsidRPr="006D7EEE" w:rsidRDefault="00C116E8">
            <w:pPr>
              <w:rPr>
                <w:rFonts w:cs="Arial"/>
                <w:sz w:val="20"/>
                <w:szCs w:val="20"/>
                <w:u w:val="single"/>
              </w:rPr>
            </w:pPr>
            <w:r w:rsidRPr="006D7EEE">
              <w:rPr>
                <w:noProof/>
                <w:lang w:eastAsia="en-GB"/>
              </w:rPr>
              <w:drawing>
                <wp:inline distT="0" distB="0" distL="0" distR="0" wp14:anchorId="39CCD2DF" wp14:editId="01C27F1F">
                  <wp:extent cx="3845169" cy="2544199"/>
                  <wp:effectExtent l="0" t="0" r="317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9660" cy="2553787"/>
                          </a:xfrm>
                          <a:prstGeom prst="rect">
                            <a:avLst/>
                          </a:prstGeom>
                          <a:noFill/>
                          <a:ln>
                            <a:noFill/>
                          </a:ln>
                        </pic:spPr>
                      </pic:pic>
                    </a:graphicData>
                  </a:graphic>
                </wp:inline>
              </w:drawing>
            </w:r>
          </w:p>
        </w:tc>
      </w:tr>
    </w:tbl>
    <w:p w:rsidR="00906532" w:rsidRDefault="00906532">
      <w:pPr>
        <w:rPr>
          <w:rFonts w:cs="Arial"/>
          <w:sz w:val="20"/>
          <w:szCs w:val="20"/>
        </w:rPr>
      </w:pPr>
    </w:p>
    <w:p w:rsidR="000B4860" w:rsidRPr="00582143" w:rsidRDefault="000B4860" w:rsidP="000B4860">
      <w:pPr>
        <w:rPr>
          <w:rFonts w:ascii="Arial" w:hAnsi="Arial" w:cs="Arial"/>
          <w:b/>
          <w:sz w:val="20"/>
          <w:szCs w:val="20"/>
        </w:rPr>
      </w:pPr>
      <w:r w:rsidRPr="00582143">
        <w:rPr>
          <w:rFonts w:ascii="Arial" w:hAnsi="Arial" w:cs="Arial"/>
          <w:b/>
          <w:sz w:val="20"/>
          <w:szCs w:val="20"/>
        </w:rPr>
        <w:t>Notes:</w:t>
      </w:r>
    </w:p>
    <w:p w:rsidR="00532ED9" w:rsidRPr="00582143" w:rsidRDefault="00532ED9" w:rsidP="00532ED9">
      <w:pPr>
        <w:pStyle w:val="ListParagraph"/>
        <w:numPr>
          <w:ilvl w:val="0"/>
          <w:numId w:val="7"/>
        </w:numPr>
        <w:rPr>
          <w:rFonts w:ascii="Arial" w:hAnsi="Arial" w:cs="Arial"/>
          <w:sz w:val="20"/>
          <w:szCs w:val="20"/>
        </w:rPr>
      </w:pPr>
      <w:r w:rsidRPr="00582143">
        <w:rPr>
          <w:rFonts w:ascii="Arial" w:hAnsi="Arial" w:cs="Arial"/>
          <w:sz w:val="20"/>
          <w:szCs w:val="20"/>
        </w:rPr>
        <w:t>Before the Integrated Care Pathway, the process could be time intensive for consultants, and a long wait for patients, parents and carers.</w:t>
      </w:r>
    </w:p>
    <w:p w:rsidR="00532ED9" w:rsidRPr="00582143" w:rsidRDefault="00D6247B" w:rsidP="00532ED9">
      <w:pPr>
        <w:pStyle w:val="ListParagraph"/>
        <w:numPr>
          <w:ilvl w:val="0"/>
          <w:numId w:val="7"/>
        </w:numPr>
        <w:rPr>
          <w:rFonts w:ascii="Arial" w:hAnsi="Arial" w:cs="Arial"/>
          <w:sz w:val="20"/>
          <w:szCs w:val="20"/>
        </w:rPr>
      </w:pPr>
      <w:r w:rsidRPr="00582143">
        <w:rPr>
          <w:rFonts w:ascii="Arial" w:hAnsi="Arial" w:cs="Arial"/>
          <w:sz w:val="20"/>
          <w:szCs w:val="20"/>
        </w:rPr>
        <w:t>Because the quality of referrals has improved, and the ADHD nurse carries out pre-assessments and checks that paperwork is complete, the consultant has a more complete pre-assessment before they see the service user.</w:t>
      </w:r>
    </w:p>
    <w:p w:rsidR="00D6247B" w:rsidRPr="00582143" w:rsidRDefault="00D6247B" w:rsidP="00532ED9">
      <w:pPr>
        <w:pStyle w:val="ListParagraph"/>
        <w:numPr>
          <w:ilvl w:val="0"/>
          <w:numId w:val="7"/>
        </w:numPr>
        <w:rPr>
          <w:rFonts w:ascii="Arial" w:hAnsi="Arial" w:cs="Arial"/>
          <w:sz w:val="20"/>
          <w:szCs w:val="20"/>
        </w:rPr>
      </w:pPr>
      <w:r w:rsidRPr="00582143">
        <w:rPr>
          <w:rFonts w:ascii="Arial" w:hAnsi="Arial" w:cs="Arial"/>
          <w:sz w:val="20"/>
          <w:szCs w:val="20"/>
        </w:rPr>
        <w:t>This helps them to make recommendations based on more complete information, reducing the need for further consultations to reach a decision.</w:t>
      </w:r>
    </w:p>
    <w:p w:rsidR="00D6247B" w:rsidRPr="00582143" w:rsidRDefault="00D6247B" w:rsidP="00532ED9">
      <w:pPr>
        <w:pStyle w:val="ListParagraph"/>
        <w:numPr>
          <w:ilvl w:val="0"/>
          <w:numId w:val="7"/>
        </w:numPr>
        <w:rPr>
          <w:rFonts w:ascii="Arial" w:hAnsi="Arial" w:cs="Arial"/>
          <w:sz w:val="20"/>
          <w:szCs w:val="20"/>
        </w:rPr>
      </w:pPr>
      <w:r w:rsidRPr="00582143">
        <w:rPr>
          <w:rFonts w:ascii="Arial" w:hAnsi="Arial" w:cs="Arial"/>
          <w:sz w:val="20"/>
          <w:szCs w:val="20"/>
        </w:rPr>
        <w:t>This represents a major saving in terms of consultation time, and enables more patients to be seen faster.</w:t>
      </w:r>
    </w:p>
    <w:p w:rsidR="00906532" w:rsidRPr="006D7EEE" w:rsidRDefault="00906532">
      <w:pPr>
        <w:rPr>
          <w:rFonts w:cs="Arial"/>
          <w:sz w:val="20"/>
          <w:szCs w:val="20"/>
          <w:u w:val="single"/>
        </w:rPr>
      </w:pPr>
      <w:r w:rsidRPr="006D7EEE">
        <w:rPr>
          <w:rFonts w:cs="Arial"/>
          <w:sz w:val="20"/>
          <w:szCs w:val="20"/>
          <w:u w:val="single"/>
        </w:rPr>
        <w:br w:type="page"/>
      </w:r>
    </w:p>
    <w:p w:rsidR="00C116E8" w:rsidRPr="00582143" w:rsidRDefault="00D6247B" w:rsidP="00C116E8">
      <w:pPr>
        <w:rPr>
          <w:rFonts w:ascii="Arial" w:hAnsi="Arial" w:cs="Arial"/>
          <w:b/>
          <w:u w:val="single"/>
        </w:rPr>
      </w:pPr>
      <w:r w:rsidRPr="00582143">
        <w:rPr>
          <w:rFonts w:ascii="Arial" w:hAnsi="Arial" w:cs="Arial"/>
          <w:b/>
          <w:u w:val="single"/>
        </w:rPr>
        <w:lastRenderedPageBreak/>
        <w:t>Graphs 6 and 7: Information is complete before a consultation happens</w:t>
      </w:r>
    </w:p>
    <w:tbl>
      <w:tblPr>
        <w:tblStyle w:val="TableGrid"/>
        <w:tblW w:w="14327" w:type="dxa"/>
        <w:tblLook w:val="04A0" w:firstRow="1" w:lastRow="0" w:firstColumn="1" w:lastColumn="0" w:noHBand="0" w:noVBand="1"/>
      </w:tblPr>
      <w:tblGrid>
        <w:gridCol w:w="6710"/>
        <w:gridCol w:w="7617"/>
      </w:tblGrid>
      <w:tr w:rsidR="00C116E8" w:rsidRPr="006D7EEE" w:rsidTr="00C015D5">
        <w:trPr>
          <w:trHeight w:val="5399"/>
        </w:trPr>
        <w:tc>
          <w:tcPr>
            <w:tcW w:w="6710" w:type="dxa"/>
          </w:tcPr>
          <w:p w:rsidR="00C116E8" w:rsidRPr="006D7EEE" w:rsidRDefault="00C116E8" w:rsidP="00C54587">
            <w:pPr>
              <w:rPr>
                <w:rFonts w:cs="Arial"/>
                <w:sz w:val="20"/>
                <w:szCs w:val="20"/>
                <w:u w:val="single"/>
              </w:rPr>
            </w:pPr>
            <w:r w:rsidRPr="006D7EEE">
              <w:rPr>
                <w:noProof/>
                <w:lang w:eastAsia="en-GB"/>
              </w:rPr>
              <w:drawing>
                <wp:inline distT="0" distB="0" distL="0" distR="0" wp14:anchorId="1D936E07" wp14:editId="3BF0CB00">
                  <wp:extent cx="3827585" cy="3398147"/>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1976" cy="3402046"/>
                          </a:xfrm>
                          <a:prstGeom prst="rect">
                            <a:avLst/>
                          </a:prstGeom>
                          <a:noFill/>
                          <a:ln>
                            <a:noFill/>
                          </a:ln>
                        </pic:spPr>
                      </pic:pic>
                    </a:graphicData>
                  </a:graphic>
                </wp:inline>
              </w:drawing>
            </w:r>
          </w:p>
        </w:tc>
        <w:tc>
          <w:tcPr>
            <w:tcW w:w="7617" w:type="dxa"/>
          </w:tcPr>
          <w:p w:rsidR="00C116E8" w:rsidRPr="006D7EEE" w:rsidRDefault="00C116E8" w:rsidP="00C54587">
            <w:pPr>
              <w:rPr>
                <w:rFonts w:cs="Arial"/>
                <w:sz w:val="20"/>
                <w:szCs w:val="20"/>
                <w:u w:val="single"/>
              </w:rPr>
            </w:pPr>
            <w:r w:rsidRPr="006D7EEE">
              <w:rPr>
                <w:noProof/>
                <w:lang w:eastAsia="en-GB"/>
              </w:rPr>
              <w:drawing>
                <wp:inline distT="0" distB="0" distL="0" distR="0" wp14:anchorId="1FA8A248" wp14:editId="2366717C">
                  <wp:extent cx="4337539" cy="338472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344" cy="3389250"/>
                          </a:xfrm>
                          <a:prstGeom prst="rect">
                            <a:avLst/>
                          </a:prstGeom>
                          <a:noFill/>
                          <a:ln>
                            <a:noFill/>
                          </a:ln>
                        </pic:spPr>
                      </pic:pic>
                    </a:graphicData>
                  </a:graphic>
                </wp:inline>
              </w:drawing>
            </w:r>
          </w:p>
        </w:tc>
      </w:tr>
    </w:tbl>
    <w:p w:rsidR="00C116E8" w:rsidRDefault="00C116E8">
      <w:pPr>
        <w:rPr>
          <w:rFonts w:cs="Arial"/>
          <w:sz w:val="20"/>
          <w:szCs w:val="20"/>
          <w:u w:val="single"/>
        </w:rPr>
      </w:pPr>
    </w:p>
    <w:p w:rsidR="000B4860" w:rsidRPr="00582143" w:rsidRDefault="000B4860" w:rsidP="000B4860">
      <w:pPr>
        <w:rPr>
          <w:rFonts w:ascii="Arial" w:hAnsi="Arial" w:cs="Arial"/>
          <w:b/>
          <w:sz w:val="20"/>
          <w:szCs w:val="20"/>
        </w:rPr>
      </w:pPr>
      <w:r w:rsidRPr="00582143">
        <w:rPr>
          <w:rFonts w:ascii="Arial" w:hAnsi="Arial" w:cs="Arial"/>
          <w:b/>
          <w:sz w:val="20"/>
          <w:szCs w:val="20"/>
        </w:rPr>
        <w:t>Notes:</w:t>
      </w:r>
    </w:p>
    <w:p w:rsidR="00D6247B" w:rsidRPr="00582143" w:rsidRDefault="00D6247B" w:rsidP="00D6247B">
      <w:pPr>
        <w:pStyle w:val="ListParagraph"/>
        <w:numPr>
          <w:ilvl w:val="0"/>
          <w:numId w:val="8"/>
        </w:numPr>
        <w:rPr>
          <w:rFonts w:ascii="Arial" w:hAnsi="Arial" w:cs="Arial"/>
          <w:sz w:val="20"/>
          <w:szCs w:val="20"/>
        </w:rPr>
      </w:pPr>
      <w:r w:rsidRPr="00582143">
        <w:rPr>
          <w:rFonts w:ascii="Arial" w:hAnsi="Arial" w:cs="Arial"/>
          <w:sz w:val="20"/>
          <w:szCs w:val="20"/>
        </w:rPr>
        <w:t>Looking in more detail at the quality of pre-assessment, before the pathway in 32% of cases</w:t>
      </w:r>
      <w:r w:rsidR="00717410" w:rsidRPr="00582143">
        <w:rPr>
          <w:rFonts w:ascii="Arial" w:hAnsi="Arial" w:cs="Arial"/>
          <w:sz w:val="20"/>
          <w:szCs w:val="20"/>
        </w:rPr>
        <w:t xml:space="preserve">, consultants </w:t>
      </w:r>
      <w:r w:rsidRPr="00582143">
        <w:rPr>
          <w:rFonts w:ascii="Arial" w:hAnsi="Arial" w:cs="Arial"/>
          <w:sz w:val="20"/>
          <w:szCs w:val="20"/>
        </w:rPr>
        <w:t>did not have access to the required observation feedback reports on the child’s behaviour over time and in different settings.</w:t>
      </w:r>
    </w:p>
    <w:p w:rsidR="00EB3284" w:rsidRPr="00582143" w:rsidRDefault="00D6247B" w:rsidP="00C363E3">
      <w:pPr>
        <w:pStyle w:val="ListParagraph"/>
        <w:numPr>
          <w:ilvl w:val="0"/>
          <w:numId w:val="8"/>
        </w:numPr>
        <w:rPr>
          <w:rFonts w:ascii="Arial" w:hAnsi="Arial" w:cs="Arial"/>
          <w:sz w:val="20"/>
          <w:szCs w:val="20"/>
        </w:rPr>
      </w:pPr>
      <w:r w:rsidRPr="00582143">
        <w:rPr>
          <w:rFonts w:ascii="Arial" w:hAnsi="Arial" w:cs="Arial"/>
          <w:sz w:val="20"/>
          <w:szCs w:val="20"/>
        </w:rPr>
        <w:t xml:space="preserve">After the Integrated Care Pathway, and with the ADHD nurse coordinating and managing the process, consultants receive the required information in 94% of cases, so that they can take this into account when assessing the needs of the service user. </w:t>
      </w:r>
    </w:p>
    <w:sectPr w:rsidR="00EB3284" w:rsidRPr="00582143" w:rsidSect="00C015D5">
      <w:footerReference w:type="defaul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AEE" w:rsidRDefault="00A36AEE" w:rsidP="0015039F">
      <w:pPr>
        <w:spacing w:after="0" w:line="240" w:lineRule="auto"/>
      </w:pPr>
      <w:r>
        <w:separator/>
      </w:r>
    </w:p>
  </w:endnote>
  <w:endnote w:type="continuationSeparator" w:id="0">
    <w:p w:rsidR="00A36AEE" w:rsidRDefault="00A36AEE" w:rsidP="00150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4276081"/>
      <w:docPartObj>
        <w:docPartGallery w:val="Page Numbers (Bottom of Page)"/>
        <w:docPartUnique/>
      </w:docPartObj>
    </w:sdtPr>
    <w:sdtEndPr>
      <w:rPr>
        <w:noProof/>
      </w:rPr>
    </w:sdtEndPr>
    <w:sdtContent>
      <w:p w:rsidR="0015039F" w:rsidRDefault="0015039F">
        <w:pPr>
          <w:pStyle w:val="Footer"/>
          <w:jc w:val="right"/>
        </w:pPr>
        <w:r>
          <w:fldChar w:fldCharType="begin"/>
        </w:r>
        <w:r>
          <w:instrText xml:space="preserve"> PAGE   \* MERGEFORMAT </w:instrText>
        </w:r>
        <w:r>
          <w:fldChar w:fldCharType="separate"/>
        </w:r>
        <w:r w:rsidR="00A67314">
          <w:rPr>
            <w:noProof/>
          </w:rPr>
          <w:t>2</w:t>
        </w:r>
        <w:r>
          <w:rPr>
            <w:noProof/>
          </w:rPr>
          <w:fldChar w:fldCharType="end"/>
        </w:r>
      </w:p>
    </w:sdtContent>
  </w:sdt>
  <w:p w:rsidR="0015039F" w:rsidRDefault="001503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AEE" w:rsidRDefault="00A36AEE" w:rsidP="0015039F">
      <w:pPr>
        <w:spacing w:after="0" w:line="240" w:lineRule="auto"/>
      </w:pPr>
      <w:r>
        <w:separator/>
      </w:r>
    </w:p>
  </w:footnote>
  <w:footnote w:type="continuationSeparator" w:id="0">
    <w:p w:rsidR="00A36AEE" w:rsidRDefault="00A36AEE" w:rsidP="001503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D7971"/>
    <w:multiLevelType w:val="hybridMultilevel"/>
    <w:tmpl w:val="8BD02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AE7BA0"/>
    <w:multiLevelType w:val="hybridMultilevel"/>
    <w:tmpl w:val="33605D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BBD5797"/>
    <w:multiLevelType w:val="hybridMultilevel"/>
    <w:tmpl w:val="FF50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E2655F1"/>
    <w:multiLevelType w:val="hybridMultilevel"/>
    <w:tmpl w:val="115C5D80"/>
    <w:lvl w:ilvl="0" w:tplc="D5C80084">
      <w:start w:val="1"/>
      <w:numFmt w:val="decimal"/>
      <w:lvlText w:val="%1)"/>
      <w:lvlJc w:val="left"/>
      <w:pPr>
        <w:ind w:left="720" w:hanging="360"/>
      </w:pPr>
      <w:rPr>
        <w:rFonts w:ascii="Tahoma" w:hAnsi="Tahoma" w:cs="Tahoma" w:hint="default"/>
        <w:color w:val="00000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6574A97"/>
    <w:multiLevelType w:val="hybridMultilevel"/>
    <w:tmpl w:val="AB788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D311AB8"/>
    <w:multiLevelType w:val="hybridMultilevel"/>
    <w:tmpl w:val="8EF0F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81C3FB8"/>
    <w:multiLevelType w:val="hybridMultilevel"/>
    <w:tmpl w:val="59FC6B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687F1431"/>
    <w:multiLevelType w:val="hybridMultilevel"/>
    <w:tmpl w:val="345C3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0"/>
  </w:num>
  <w:num w:numId="5">
    <w:abstractNumId w:val="7"/>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E2B"/>
    <w:rsid w:val="000B4860"/>
    <w:rsid w:val="00102939"/>
    <w:rsid w:val="0015039F"/>
    <w:rsid w:val="00184542"/>
    <w:rsid w:val="0022630F"/>
    <w:rsid w:val="002335F1"/>
    <w:rsid w:val="002B57AF"/>
    <w:rsid w:val="002F377C"/>
    <w:rsid w:val="003B0B53"/>
    <w:rsid w:val="003E3B03"/>
    <w:rsid w:val="003F4F7A"/>
    <w:rsid w:val="00485907"/>
    <w:rsid w:val="00492DBF"/>
    <w:rsid w:val="0050523B"/>
    <w:rsid w:val="00532ED9"/>
    <w:rsid w:val="00541CC6"/>
    <w:rsid w:val="00571FEA"/>
    <w:rsid w:val="00582143"/>
    <w:rsid w:val="005C40B9"/>
    <w:rsid w:val="00621A03"/>
    <w:rsid w:val="00653D17"/>
    <w:rsid w:val="006C0C6D"/>
    <w:rsid w:val="006C2DE8"/>
    <w:rsid w:val="006D7AC1"/>
    <w:rsid w:val="006D7EEE"/>
    <w:rsid w:val="006E7B7A"/>
    <w:rsid w:val="00717410"/>
    <w:rsid w:val="0078018F"/>
    <w:rsid w:val="007878F8"/>
    <w:rsid w:val="007C3C95"/>
    <w:rsid w:val="0081053A"/>
    <w:rsid w:val="008649BC"/>
    <w:rsid w:val="00897B0A"/>
    <w:rsid w:val="00906532"/>
    <w:rsid w:val="0092740F"/>
    <w:rsid w:val="00945C82"/>
    <w:rsid w:val="00967166"/>
    <w:rsid w:val="009C0F63"/>
    <w:rsid w:val="00A36AEE"/>
    <w:rsid w:val="00A60482"/>
    <w:rsid w:val="00A67314"/>
    <w:rsid w:val="00AB519C"/>
    <w:rsid w:val="00B90E2B"/>
    <w:rsid w:val="00C015D5"/>
    <w:rsid w:val="00C116E8"/>
    <w:rsid w:val="00D54477"/>
    <w:rsid w:val="00D557EA"/>
    <w:rsid w:val="00D6247B"/>
    <w:rsid w:val="00E414BA"/>
    <w:rsid w:val="00EB3284"/>
    <w:rsid w:val="00F60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380BBD-CFCA-4EC3-BCA7-B43764A44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90E2B"/>
    <w:rPr>
      <w:color w:val="0000FF"/>
      <w:u w:val="single"/>
    </w:rPr>
  </w:style>
  <w:style w:type="paragraph" w:styleId="ListParagraph">
    <w:name w:val="List Paragraph"/>
    <w:basedOn w:val="Normal"/>
    <w:uiPriority w:val="34"/>
    <w:qFormat/>
    <w:rsid w:val="0015039F"/>
    <w:pPr>
      <w:ind w:left="720"/>
      <w:contextualSpacing/>
    </w:pPr>
  </w:style>
  <w:style w:type="paragraph" w:styleId="Header">
    <w:name w:val="header"/>
    <w:basedOn w:val="Normal"/>
    <w:link w:val="HeaderChar"/>
    <w:uiPriority w:val="99"/>
    <w:unhideWhenUsed/>
    <w:rsid w:val="001503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039F"/>
  </w:style>
  <w:style w:type="paragraph" w:styleId="Footer">
    <w:name w:val="footer"/>
    <w:basedOn w:val="Normal"/>
    <w:link w:val="FooterChar"/>
    <w:uiPriority w:val="99"/>
    <w:unhideWhenUsed/>
    <w:rsid w:val="001503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039F"/>
  </w:style>
  <w:style w:type="paragraph" w:styleId="BalloonText">
    <w:name w:val="Balloon Text"/>
    <w:basedOn w:val="Normal"/>
    <w:link w:val="BalloonTextChar"/>
    <w:uiPriority w:val="99"/>
    <w:semiHidden/>
    <w:unhideWhenUsed/>
    <w:rsid w:val="009671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166"/>
    <w:rPr>
      <w:rFonts w:ascii="Tahoma" w:hAnsi="Tahoma" w:cs="Tahoma"/>
      <w:sz w:val="16"/>
      <w:szCs w:val="16"/>
    </w:rPr>
  </w:style>
  <w:style w:type="paragraph" w:styleId="PlainText">
    <w:name w:val="Plain Text"/>
    <w:basedOn w:val="Normal"/>
    <w:link w:val="PlainTextChar"/>
    <w:uiPriority w:val="99"/>
    <w:semiHidden/>
    <w:unhideWhenUsed/>
    <w:rsid w:val="00E414BA"/>
    <w:pPr>
      <w:spacing w:after="0" w:line="240" w:lineRule="auto"/>
    </w:pPr>
    <w:rPr>
      <w:rFonts w:ascii="Calibri" w:eastAsia="Times New Roman" w:hAnsi="Calibri" w:cs="Times New Roman"/>
      <w:lang w:eastAsia="en-GB"/>
    </w:rPr>
  </w:style>
  <w:style w:type="character" w:customStyle="1" w:styleId="PlainTextChar">
    <w:name w:val="Plain Text Char"/>
    <w:basedOn w:val="DefaultParagraphFont"/>
    <w:link w:val="PlainText"/>
    <w:uiPriority w:val="99"/>
    <w:semiHidden/>
    <w:rsid w:val="00E414BA"/>
    <w:rPr>
      <w:rFonts w:ascii="Calibri" w:eastAsia="Times New Roman" w:hAnsi="Calibri" w:cs="Times New Roman"/>
      <w:lang w:eastAsia="en-GB"/>
    </w:rPr>
  </w:style>
  <w:style w:type="table" w:styleId="TableGrid">
    <w:name w:val="Table Grid"/>
    <w:basedOn w:val="TableNormal"/>
    <w:uiPriority w:val="59"/>
    <w:rsid w:val="00810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962218">
      <w:bodyDiv w:val="1"/>
      <w:marLeft w:val="0"/>
      <w:marRight w:val="0"/>
      <w:marTop w:val="0"/>
      <w:marBottom w:val="0"/>
      <w:divBdr>
        <w:top w:val="none" w:sz="0" w:space="0" w:color="auto"/>
        <w:left w:val="none" w:sz="0" w:space="0" w:color="auto"/>
        <w:bottom w:val="none" w:sz="0" w:space="0" w:color="auto"/>
        <w:right w:val="none" w:sz="0" w:space="0" w:color="auto"/>
      </w:divBdr>
      <w:divsChild>
        <w:div w:id="1544177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575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42791">
      <w:bodyDiv w:val="1"/>
      <w:marLeft w:val="0"/>
      <w:marRight w:val="0"/>
      <w:marTop w:val="0"/>
      <w:marBottom w:val="0"/>
      <w:divBdr>
        <w:top w:val="none" w:sz="0" w:space="0" w:color="auto"/>
        <w:left w:val="none" w:sz="0" w:space="0" w:color="auto"/>
        <w:bottom w:val="none" w:sz="0" w:space="0" w:color="auto"/>
        <w:right w:val="none" w:sz="0" w:space="0" w:color="auto"/>
      </w:divBdr>
      <w:divsChild>
        <w:div w:id="357587063">
          <w:marLeft w:val="0"/>
          <w:marRight w:val="0"/>
          <w:marTop w:val="0"/>
          <w:marBottom w:val="0"/>
          <w:divBdr>
            <w:top w:val="none" w:sz="0" w:space="0" w:color="auto"/>
            <w:left w:val="none" w:sz="0" w:space="0" w:color="auto"/>
            <w:bottom w:val="none" w:sz="0" w:space="0" w:color="auto"/>
            <w:right w:val="none" w:sz="0" w:space="0" w:color="auto"/>
          </w:divBdr>
          <w:divsChild>
            <w:div w:id="501818651">
              <w:marLeft w:val="0"/>
              <w:marRight w:val="0"/>
              <w:marTop w:val="0"/>
              <w:marBottom w:val="0"/>
              <w:divBdr>
                <w:top w:val="none" w:sz="0" w:space="0" w:color="auto"/>
                <w:left w:val="none" w:sz="0" w:space="0" w:color="auto"/>
                <w:bottom w:val="none" w:sz="0" w:space="0" w:color="auto"/>
                <w:right w:val="none" w:sz="0" w:space="0" w:color="auto"/>
              </w:divBdr>
              <w:divsChild>
                <w:div w:id="142719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228712">
      <w:bodyDiv w:val="1"/>
      <w:marLeft w:val="0"/>
      <w:marRight w:val="0"/>
      <w:marTop w:val="0"/>
      <w:marBottom w:val="0"/>
      <w:divBdr>
        <w:top w:val="none" w:sz="0" w:space="0" w:color="auto"/>
        <w:left w:val="none" w:sz="0" w:space="0" w:color="auto"/>
        <w:bottom w:val="none" w:sz="0" w:space="0" w:color="auto"/>
        <w:right w:val="none" w:sz="0" w:space="0" w:color="auto"/>
      </w:divBdr>
      <w:divsChild>
        <w:div w:id="1309281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569272">
              <w:marLeft w:val="0"/>
              <w:marRight w:val="0"/>
              <w:marTop w:val="0"/>
              <w:marBottom w:val="0"/>
              <w:divBdr>
                <w:top w:val="none" w:sz="0" w:space="0" w:color="auto"/>
                <w:left w:val="none" w:sz="0" w:space="0" w:color="auto"/>
                <w:bottom w:val="none" w:sz="0" w:space="0" w:color="auto"/>
                <w:right w:val="none" w:sz="0" w:space="0" w:color="auto"/>
              </w:divBdr>
              <w:divsChild>
                <w:div w:id="781613848">
                  <w:marLeft w:val="0"/>
                  <w:marRight w:val="0"/>
                  <w:marTop w:val="0"/>
                  <w:marBottom w:val="0"/>
                  <w:divBdr>
                    <w:top w:val="none" w:sz="0" w:space="0" w:color="auto"/>
                    <w:left w:val="none" w:sz="0" w:space="0" w:color="auto"/>
                    <w:bottom w:val="none" w:sz="0" w:space="0" w:color="auto"/>
                    <w:right w:val="none" w:sz="0" w:space="0" w:color="auto"/>
                  </w:divBdr>
                  <w:divsChild>
                    <w:div w:id="732882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5406673">
                          <w:marLeft w:val="0"/>
                          <w:marRight w:val="0"/>
                          <w:marTop w:val="0"/>
                          <w:marBottom w:val="0"/>
                          <w:divBdr>
                            <w:top w:val="none" w:sz="0" w:space="0" w:color="auto"/>
                            <w:left w:val="none" w:sz="0" w:space="0" w:color="auto"/>
                            <w:bottom w:val="none" w:sz="0" w:space="0" w:color="auto"/>
                            <w:right w:val="none" w:sz="0" w:space="0" w:color="auto"/>
                          </w:divBdr>
                          <w:divsChild>
                            <w:div w:id="1893346596">
                              <w:marLeft w:val="0"/>
                              <w:marRight w:val="0"/>
                              <w:marTop w:val="0"/>
                              <w:marBottom w:val="0"/>
                              <w:divBdr>
                                <w:top w:val="none" w:sz="0" w:space="0" w:color="auto"/>
                                <w:left w:val="none" w:sz="0" w:space="0" w:color="auto"/>
                                <w:bottom w:val="none" w:sz="0" w:space="0" w:color="auto"/>
                                <w:right w:val="none" w:sz="0" w:space="0" w:color="auto"/>
                              </w:divBdr>
                              <w:divsChild>
                                <w:div w:id="695733718">
                                  <w:marLeft w:val="0"/>
                                  <w:marRight w:val="0"/>
                                  <w:marTop w:val="0"/>
                                  <w:marBottom w:val="0"/>
                                  <w:divBdr>
                                    <w:top w:val="none" w:sz="0" w:space="0" w:color="auto"/>
                                    <w:left w:val="none" w:sz="0" w:space="0" w:color="auto"/>
                                    <w:bottom w:val="none" w:sz="0" w:space="0" w:color="auto"/>
                                    <w:right w:val="none" w:sz="0" w:space="0" w:color="auto"/>
                                  </w:divBdr>
                                </w:div>
                                <w:div w:id="1735007121">
                                  <w:marLeft w:val="0"/>
                                  <w:marRight w:val="0"/>
                                  <w:marTop w:val="0"/>
                                  <w:marBottom w:val="0"/>
                                  <w:divBdr>
                                    <w:top w:val="none" w:sz="0" w:space="0" w:color="auto"/>
                                    <w:left w:val="none" w:sz="0" w:space="0" w:color="auto"/>
                                    <w:bottom w:val="none" w:sz="0" w:space="0" w:color="auto"/>
                                    <w:right w:val="none" w:sz="0" w:space="0" w:color="auto"/>
                                  </w:divBdr>
                                </w:div>
                                <w:div w:id="233207176">
                                  <w:marLeft w:val="0"/>
                                  <w:marRight w:val="0"/>
                                  <w:marTop w:val="0"/>
                                  <w:marBottom w:val="0"/>
                                  <w:divBdr>
                                    <w:top w:val="none" w:sz="0" w:space="0" w:color="auto"/>
                                    <w:left w:val="none" w:sz="0" w:space="0" w:color="auto"/>
                                    <w:bottom w:val="none" w:sz="0" w:space="0" w:color="auto"/>
                                    <w:right w:val="none" w:sz="0" w:space="0" w:color="auto"/>
                                  </w:divBdr>
                                </w:div>
                                <w:div w:id="322975492">
                                  <w:marLeft w:val="0"/>
                                  <w:marRight w:val="0"/>
                                  <w:marTop w:val="0"/>
                                  <w:marBottom w:val="0"/>
                                  <w:divBdr>
                                    <w:top w:val="none" w:sz="0" w:space="0" w:color="auto"/>
                                    <w:left w:val="none" w:sz="0" w:space="0" w:color="auto"/>
                                    <w:bottom w:val="none" w:sz="0" w:space="0" w:color="auto"/>
                                    <w:right w:val="none" w:sz="0" w:space="0" w:color="auto"/>
                                  </w:divBdr>
                                </w:div>
                                <w:div w:id="683098194">
                                  <w:marLeft w:val="0"/>
                                  <w:marRight w:val="0"/>
                                  <w:marTop w:val="0"/>
                                  <w:marBottom w:val="0"/>
                                  <w:divBdr>
                                    <w:top w:val="none" w:sz="0" w:space="0" w:color="auto"/>
                                    <w:left w:val="none" w:sz="0" w:space="0" w:color="auto"/>
                                    <w:bottom w:val="none" w:sz="0" w:space="0" w:color="auto"/>
                                    <w:right w:val="none" w:sz="0" w:space="0" w:color="auto"/>
                                  </w:divBdr>
                                </w:div>
                                <w:div w:id="503906355">
                                  <w:marLeft w:val="0"/>
                                  <w:marRight w:val="0"/>
                                  <w:marTop w:val="0"/>
                                  <w:marBottom w:val="0"/>
                                  <w:divBdr>
                                    <w:top w:val="none" w:sz="0" w:space="0" w:color="auto"/>
                                    <w:left w:val="none" w:sz="0" w:space="0" w:color="auto"/>
                                    <w:bottom w:val="none" w:sz="0" w:space="0" w:color="auto"/>
                                    <w:right w:val="none" w:sz="0" w:space="0" w:color="auto"/>
                                  </w:divBdr>
                                </w:div>
                                <w:div w:id="1045718351">
                                  <w:marLeft w:val="0"/>
                                  <w:marRight w:val="0"/>
                                  <w:marTop w:val="0"/>
                                  <w:marBottom w:val="0"/>
                                  <w:divBdr>
                                    <w:top w:val="none" w:sz="0" w:space="0" w:color="auto"/>
                                    <w:left w:val="none" w:sz="0" w:space="0" w:color="auto"/>
                                    <w:bottom w:val="none" w:sz="0" w:space="0" w:color="auto"/>
                                    <w:right w:val="none" w:sz="0" w:space="0" w:color="auto"/>
                                  </w:divBdr>
                                </w:div>
                                <w:div w:id="581986511">
                                  <w:marLeft w:val="0"/>
                                  <w:marRight w:val="0"/>
                                  <w:marTop w:val="0"/>
                                  <w:marBottom w:val="0"/>
                                  <w:divBdr>
                                    <w:top w:val="none" w:sz="0" w:space="0" w:color="auto"/>
                                    <w:left w:val="none" w:sz="0" w:space="0" w:color="auto"/>
                                    <w:bottom w:val="none" w:sz="0" w:space="0" w:color="auto"/>
                                    <w:right w:val="none" w:sz="0" w:space="0" w:color="auto"/>
                                  </w:divBdr>
                                </w:div>
                                <w:div w:id="1885409184">
                                  <w:marLeft w:val="0"/>
                                  <w:marRight w:val="0"/>
                                  <w:marTop w:val="0"/>
                                  <w:marBottom w:val="0"/>
                                  <w:divBdr>
                                    <w:top w:val="none" w:sz="0" w:space="0" w:color="auto"/>
                                    <w:left w:val="none" w:sz="0" w:space="0" w:color="auto"/>
                                    <w:bottom w:val="none" w:sz="0" w:space="0" w:color="auto"/>
                                    <w:right w:val="none" w:sz="0" w:space="0" w:color="auto"/>
                                  </w:divBdr>
                                </w:div>
                                <w:div w:id="2137873425">
                                  <w:marLeft w:val="0"/>
                                  <w:marRight w:val="0"/>
                                  <w:marTop w:val="0"/>
                                  <w:marBottom w:val="0"/>
                                  <w:divBdr>
                                    <w:top w:val="none" w:sz="0" w:space="0" w:color="auto"/>
                                    <w:left w:val="none" w:sz="0" w:space="0" w:color="auto"/>
                                    <w:bottom w:val="none" w:sz="0" w:space="0" w:color="auto"/>
                                    <w:right w:val="none" w:sz="0" w:space="0" w:color="auto"/>
                                  </w:divBdr>
                                </w:div>
                                <w:div w:id="215896236">
                                  <w:marLeft w:val="0"/>
                                  <w:marRight w:val="0"/>
                                  <w:marTop w:val="0"/>
                                  <w:marBottom w:val="0"/>
                                  <w:divBdr>
                                    <w:top w:val="none" w:sz="0" w:space="0" w:color="auto"/>
                                    <w:left w:val="none" w:sz="0" w:space="0" w:color="auto"/>
                                    <w:bottom w:val="none" w:sz="0" w:space="0" w:color="auto"/>
                                    <w:right w:val="none" w:sz="0" w:space="0" w:color="auto"/>
                                  </w:divBdr>
                                </w:div>
                                <w:div w:id="136800435">
                                  <w:marLeft w:val="0"/>
                                  <w:marRight w:val="0"/>
                                  <w:marTop w:val="0"/>
                                  <w:marBottom w:val="0"/>
                                  <w:divBdr>
                                    <w:top w:val="none" w:sz="0" w:space="0" w:color="auto"/>
                                    <w:left w:val="none" w:sz="0" w:space="0" w:color="auto"/>
                                    <w:bottom w:val="none" w:sz="0" w:space="0" w:color="auto"/>
                                    <w:right w:val="none" w:sz="0" w:space="0" w:color="auto"/>
                                  </w:divBdr>
                                </w:div>
                                <w:div w:id="1063914746">
                                  <w:marLeft w:val="0"/>
                                  <w:marRight w:val="0"/>
                                  <w:marTop w:val="0"/>
                                  <w:marBottom w:val="0"/>
                                  <w:divBdr>
                                    <w:top w:val="none" w:sz="0" w:space="0" w:color="auto"/>
                                    <w:left w:val="none" w:sz="0" w:space="0" w:color="auto"/>
                                    <w:bottom w:val="none" w:sz="0" w:space="0" w:color="auto"/>
                                    <w:right w:val="none" w:sz="0" w:space="0" w:color="auto"/>
                                  </w:divBdr>
                                </w:div>
                                <w:div w:id="1834029022">
                                  <w:marLeft w:val="0"/>
                                  <w:marRight w:val="0"/>
                                  <w:marTop w:val="0"/>
                                  <w:marBottom w:val="0"/>
                                  <w:divBdr>
                                    <w:top w:val="none" w:sz="0" w:space="0" w:color="auto"/>
                                    <w:left w:val="none" w:sz="0" w:space="0" w:color="auto"/>
                                    <w:bottom w:val="none" w:sz="0" w:space="0" w:color="auto"/>
                                    <w:right w:val="none" w:sz="0" w:space="0" w:color="auto"/>
                                  </w:divBdr>
                                </w:div>
                                <w:div w:id="101234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dc:creator>
  <cp:lastModifiedBy>Lovatt, Fiona</cp:lastModifiedBy>
  <cp:revision>2</cp:revision>
  <dcterms:created xsi:type="dcterms:W3CDTF">2015-03-25T17:19:00Z</dcterms:created>
  <dcterms:modified xsi:type="dcterms:W3CDTF">2015-03-25T17:19:00Z</dcterms:modified>
</cp:coreProperties>
</file>